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EB" w:rsidRDefault="002D3BEB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35" w:type="dxa"/>
        <w:tblLook w:val="0000"/>
      </w:tblPr>
      <w:tblGrid>
        <w:gridCol w:w="341"/>
        <w:gridCol w:w="2743"/>
        <w:gridCol w:w="2114"/>
        <w:gridCol w:w="1158"/>
        <w:gridCol w:w="300"/>
        <w:gridCol w:w="2979"/>
      </w:tblGrid>
      <w:tr w:rsidR="002D3BEB">
        <w:trPr>
          <w:trHeight w:val="819"/>
        </w:trPr>
        <w:tc>
          <w:tcPr>
            <w:tcW w:w="4673" w:type="dxa"/>
            <w:gridSpan w:val="3"/>
            <w:shd w:val="clear" w:color="auto" w:fill="auto"/>
          </w:tcPr>
          <w:p w:rsidR="002D3BEB" w:rsidRDefault="0012179C">
            <w:pP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79" t="-515" r="-179" b="-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2" w:type="dxa"/>
            <w:gridSpan w:val="2"/>
            <w:shd w:val="clear" w:color="auto" w:fill="auto"/>
          </w:tcPr>
          <w:p w:rsidR="002D3BEB" w:rsidRDefault="002D3BEB">
            <w:pP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auto"/>
          </w:tcPr>
          <w:p w:rsidR="002D3BEB" w:rsidRDefault="0012179C">
            <w:pP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51815" cy="586740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285" t="-260" r="-285" b="-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BEB" w:rsidRDefault="002D3BEB">
            <w:pP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2D3BEB" w:rsidRDefault="0012179C">
            <w:pP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3" name="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72" t="-300" r="-51" b="-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BEB">
        <w:tc>
          <w:tcPr>
            <w:tcW w:w="158" w:type="dxa"/>
            <w:shd w:val="clear" w:color="auto" w:fill="auto"/>
          </w:tcPr>
          <w:p w:rsidR="002D3BEB" w:rsidRDefault="002D3BEB">
            <w:pP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476" w:type="dxa"/>
            <w:gridSpan w:val="5"/>
            <w:shd w:val="clear" w:color="auto" w:fill="auto"/>
          </w:tcPr>
          <w:p w:rsidR="002D3BEB" w:rsidRDefault="0012179C">
            <w:pP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2D3BEB">
        <w:tc>
          <w:tcPr>
            <w:tcW w:w="158" w:type="dxa"/>
            <w:shd w:val="clear" w:color="auto" w:fill="auto"/>
          </w:tcPr>
          <w:p w:rsidR="002D3BEB" w:rsidRDefault="002D3BEB">
            <w:pP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auto"/>
          </w:tcPr>
          <w:p w:rsidR="002D3BEB" w:rsidRDefault="0012179C">
            <w:pP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76" w:type="dxa"/>
            <w:gridSpan w:val="2"/>
            <w:tcBorders>
              <w:top w:val="single" w:sz="8" w:space="0" w:color="3333FF"/>
              <w:bottom w:val="single" w:sz="8" w:space="0" w:color="3333FF"/>
            </w:tcBorders>
            <w:shd w:val="clear" w:color="auto" w:fill="auto"/>
          </w:tcPr>
          <w:p w:rsidR="002D3BEB" w:rsidRDefault="001217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489" w:type="dxa"/>
            <w:gridSpan w:val="2"/>
            <w:tcBorders>
              <w:top w:val="single" w:sz="8" w:space="0" w:color="3333FF"/>
              <w:bottom w:val="single" w:sz="8" w:space="0" w:color="3333FF"/>
            </w:tcBorders>
            <w:shd w:val="clear" w:color="auto" w:fill="auto"/>
          </w:tcPr>
          <w:p w:rsidR="002D3BEB" w:rsidRDefault="0012179C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2D3BEB" w:rsidRDefault="002D3BEB"/>
    <w:p w:rsidR="002D3BEB" w:rsidRDefault="00D664AA">
      <w:pPr>
        <w:tabs>
          <w:tab w:val="center" w:pos="4819"/>
          <w:tab w:val="right" w:pos="9638"/>
        </w:tabs>
        <w:jc w:val="center"/>
      </w:pPr>
      <w:bookmarkStart w:id="0" w:name="_heading=h.gjdgxs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ATTIVITA’ SVOLTE</w:t>
      </w:r>
      <w:r w:rsidR="0012179C">
        <w:rPr>
          <w:rFonts w:ascii="Arial" w:eastAsia="Arial" w:hAnsi="Arial" w:cs="Arial"/>
          <w:b/>
          <w:color w:val="000000"/>
          <w:sz w:val="28"/>
          <w:szCs w:val="28"/>
        </w:rPr>
        <w:t xml:space="preserve"> DEL DOCENTE A.S. 20</w:t>
      </w:r>
      <w:r w:rsidR="0012179C">
        <w:rPr>
          <w:rFonts w:ascii="Arial" w:eastAsia="Arial" w:hAnsi="Arial" w:cs="Arial"/>
          <w:b/>
          <w:sz w:val="28"/>
          <w:szCs w:val="28"/>
        </w:rPr>
        <w:t>2</w:t>
      </w:r>
      <w:r w:rsidR="00296A82">
        <w:rPr>
          <w:rFonts w:ascii="Arial" w:eastAsia="Arial" w:hAnsi="Arial" w:cs="Arial"/>
          <w:b/>
          <w:sz w:val="28"/>
          <w:szCs w:val="28"/>
        </w:rPr>
        <w:t>3</w:t>
      </w:r>
      <w:r w:rsidR="0012179C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296A82">
        <w:rPr>
          <w:rFonts w:ascii="Arial" w:eastAsia="Arial" w:hAnsi="Arial" w:cs="Arial"/>
          <w:b/>
          <w:color w:val="000000"/>
          <w:sz w:val="28"/>
          <w:szCs w:val="28"/>
        </w:rPr>
        <w:t>4</w:t>
      </w:r>
    </w:p>
    <w:p w:rsidR="002D3BEB" w:rsidRDefault="002D3BEB">
      <w:pP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2780"/>
        <w:gridCol w:w="5009"/>
        <w:gridCol w:w="2702"/>
      </w:tblGrid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keepNext/>
              <w:tabs>
                <w:tab w:val="left" w:pos="708"/>
              </w:tabs>
              <w:ind w:left="864" w:hanging="864"/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 Grazia Rossini</w:t>
            </w: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keepNext/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insegnata: Matematica</w:t>
            </w: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keepNext/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Libro/i di testo in uso: Zanone-Accomazzo-Sasso  “Matematica allo specchio </w:t>
            </w:r>
            <w:r w:rsidR="00296A82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” Edizione Verde DEA Scuola</w:t>
            </w:r>
          </w:p>
          <w:p w:rsidR="002D3BEB" w:rsidRDefault="002D3BEB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D3BEB"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keepNext/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:rsidR="002D3BEB" w:rsidRDefault="00296A82" w:rsidP="00296A82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2</w:t>
            </w:r>
            <w:r w:rsidR="0012179C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 F</w:t>
            </w:r>
          </w:p>
        </w:tc>
        <w:tc>
          <w:tcPr>
            <w:tcW w:w="5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keepNext/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</w:t>
            </w:r>
          </w:p>
          <w:p w:rsidR="002D3BEB" w:rsidRDefault="0012179C">
            <w:pPr>
              <w:keepNext/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Chimica dei Materiali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keepNext/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:rsidR="002D3BEB" w:rsidRDefault="0012179C" w:rsidP="00296A82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2</w:t>
            </w:r>
            <w:r w:rsidR="00296A82">
              <w:rPr>
                <w:rFonts w:ascii="Calibri" w:eastAsia="Calibri" w:hAnsi="Calibri"/>
                <w:b/>
                <w:bCs/>
                <w:sz w:val="24"/>
                <w:szCs w:val="24"/>
              </w:rPr>
              <w:t>0</w:t>
            </w: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Obiettivi trasversali indicati nel documento di programmazione di classe e individuati dal dipartimento </w:t>
            </w:r>
          </w:p>
          <w:p w:rsidR="002D3BEB" w:rsidRDefault="0012179C">
            <w:pPr>
              <w:suppressAutoHyphens w:val="0"/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Per incentivare le capacità linguistiche trasversali degli alunni, sono state individuate le seguenti strategie:</w:t>
            </w:r>
          </w:p>
          <w:p w:rsidR="002D3BEB" w:rsidRDefault="0012179C">
            <w:pPr>
              <w:suppressAutoHyphens w:val="0"/>
              <w:spacing w:after="200"/>
              <w:ind w:left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-Approfondire la comprensione del testo dei problemi scomponendoli in frasi semplici;</w:t>
            </w:r>
          </w:p>
          <w:p w:rsidR="002D3BEB" w:rsidRDefault="0012179C">
            <w:pPr>
              <w:suppressAutoHyphens w:val="0"/>
              <w:spacing w:after="200"/>
              <w:ind w:left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-Evidenziare durante la lezione i processi e i metodi induttivi e deduttivi;</w:t>
            </w:r>
          </w:p>
          <w:p w:rsidR="002D3BEB" w:rsidRDefault="0012179C">
            <w:pPr>
              <w:suppressAutoHyphens w:val="0"/>
              <w:spacing w:after="200"/>
              <w:ind w:left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-Spiegare il significato etimologico di termini e parole che i ragazzi incontrano</w:t>
            </w:r>
          </w:p>
          <w:p w:rsidR="002D3BEB" w:rsidRDefault="0012179C">
            <w:pPr>
              <w:suppressAutoHyphens w:val="0"/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-Incoraggiare la ricerca delle parole non comprese</w:t>
            </w:r>
          </w:p>
          <w:p w:rsidR="002D3BEB" w:rsidRDefault="002D3BEB">
            <w:pPr>
              <w:suppressAutoHyphens w:val="0"/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D3BEB" w:rsidRDefault="0012179C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Sono stati individuati obiettivi educativi comuni che riguardano le competenze chiave di cittadinanza, articolati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>secondo i tre indicatori: “costruzione del sé”; “relazioni con gli altri” e “rapporto con la realtà naturale e sociale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it-IT"/>
              </w:rPr>
              <w:t>”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.  </w:t>
            </w:r>
          </w:p>
          <w:p w:rsidR="002D3BEB" w:rsidRDefault="0012179C">
            <w:pPr>
              <w:spacing w:after="21" w:line="247" w:lineRule="auto"/>
              <w:ind w:left="10" w:right="2" w:hanging="1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Nell’ambito più propriamente scolastico si tenderà a migliorare: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partecipazione attiva durante le lezioni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il dialogo costruttivo da parte di ciascuno con l'insegnante e con i compagni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il rispetto delle regole della convivenza scolastica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disponibilità all'ascolto e al rispetto reciproco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capacità di riconoscere situazioni di disagio dei compagni 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capacità di comprendere le modalità di comportamento dei compagni in base alla situazione di eventuale disagio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capacità di autocontrollo del proprio comportamento verso i compagni confrontando le diversità 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Competenze ed Obiettivi cognitivi</w:t>
            </w:r>
          </w:p>
          <w:p w:rsidR="002D3BEB" w:rsidRDefault="0012179C">
            <w:pPr>
              <w:spacing w:after="21" w:line="247" w:lineRule="auto"/>
              <w:ind w:left="10" w:right="2" w:hanging="1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Gli obiettivi trasversali vengono individuati come segue: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ad organizzare e gestire il proprio apprendimento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ad utilizzare un proprio metodo di studio e di lavoro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 scrivere ed esporre con frasi compiute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 comprendere e rappresentare testi e messaggi di genere e di complessità diversi, formulati con linguaggi e supporti diversi.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 lavorare, interagire con gli altri in precise e specifiche attività collettive. </w:t>
            </w:r>
          </w:p>
          <w:p w:rsidR="002D3BEB" w:rsidRDefault="002D3BEB">
            <w:pPr>
              <w:spacing w:line="276" w:lineRule="auto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D3BEB" w:rsidRDefault="002D3BEB">
            <w:pPr>
              <w:spacing w:line="276" w:lineRule="auto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pStyle w:val="Corpodeltesto"/>
              <w:spacing w:after="0" w:line="331" w:lineRule="auto"/>
              <w:jc w:val="both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Eventuali osservazioni su comportamenti e atteggiamenti</w:t>
            </w:r>
          </w:p>
          <w:p w:rsidR="002D3BEB" w:rsidRDefault="002D3BEB" w:rsidP="004E7A4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2D3BEB">
            <w:pPr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:rsidR="002D3BEB" w:rsidRDefault="002D3BEB">
            <w:pPr>
              <w:ind w:left="360"/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:rsidR="002D3BEB" w:rsidRDefault="0012179C">
            <w:pPr>
              <w:ind w:left="360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  <w:u w:val="single"/>
              </w:rPr>
              <w:t>Competenze ed Obiettivi cognitivi in relazione alle competenze U.E per l’apprendimento permanente</w:t>
            </w:r>
          </w:p>
          <w:p w:rsidR="002D3BEB" w:rsidRDefault="002D3BEB">
            <w:pPr>
              <w:ind w:left="3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8" w:space="0" w:color="000001"/>
                <w:left w:val="single" w:sz="8" w:space="0" w:color="000001"/>
                <w:bottom w:val="single" w:sz="8" w:space="0" w:color="000001"/>
                <w:insideH w:val="single" w:sz="8" w:space="0" w:color="000001"/>
              </w:tblBorders>
              <w:tblCellMar>
                <w:top w:w="28" w:type="dxa"/>
                <w:left w:w="78" w:type="dxa"/>
                <w:bottom w:w="28" w:type="dxa"/>
              </w:tblCellMar>
              <w:tblLook w:val="0000"/>
            </w:tblPr>
            <w:tblGrid>
              <w:gridCol w:w="2849"/>
              <w:gridCol w:w="3302"/>
              <w:gridCol w:w="4109"/>
            </w:tblGrid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2"/>
                      <w:szCs w:val="22"/>
                    </w:rPr>
                    <w:t>COMPETENZE CHIAVE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2"/>
                      <w:szCs w:val="22"/>
                    </w:rPr>
                    <w:t>OBIETTIVI EDUCATIVI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2"/>
                      <w:szCs w:val="22"/>
                    </w:rPr>
                    <w:t>OBIETTIVI COGNITIVI</w:t>
                  </w: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PERSONALE, SOCIALE E CAPACITÀ DI IMPARARE AD IMPARARE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impegnarsi a migliorare</w:t>
                  </w:r>
                </w:p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partecipare responsabilmente alle attività scolastiche</w:t>
                  </w:r>
                </w:p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mostrare autocontrollo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tbl>
                  <w:tblPr>
                    <w:tblW w:w="5000" w:type="pct"/>
                    <w:tblLook w:val="0000"/>
                  </w:tblPr>
                  <w:tblGrid>
                    <w:gridCol w:w="3923"/>
                  </w:tblGrid>
                  <w:tr w:rsidR="002D3BEB">
                    <w:trPr>
                      <w:trHeight w:val="354"/>
                    </w:trPr>
                    <w:tc>
                      <w:tcPr>
                        <w:tcW w:w="3748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Possiede un patrimonio organico di conoscenze e nozioni di base ed è allo stesso tempo capace di ricercare e di organizzare nuove informazioni. Si impegna in nuovi apprendimenti in modo autonomo. </w:t>
                        </w:r>
                      </w:p>
                    </w:tc>
                  </w:tr>
                </w:tbl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ALFABETICA FUNZIONALE E COMPETENZA MULTILINGUISTICA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saper rispettare i tempi e curare la forma della conversazione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354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Ha una padronanza della lingua italiana tale da consentirgli di comprendere e produrre enunciati e testi di una certa complessità, di esprimere le proprie idee, di adottare un registro linguistico appropriato alle diverse situazioni. </w:t>
                        </w:r>
                      </w:p>
                    </w:tc>
                  </w:tr>
                </w:tbl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751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È in grado di esprimersi in lingua inglese a livello intermedio (livello B1 del Quadro Comune Europeo di Riferimento) [e, in una seconda lingua europea (livello A2 del Quadro Comune Europeo di Riferimento)], utilizza la lingua straniera per i principali scopi comunicativi, operativi e per produrre testi in relazione agli scopi comunicativi Utilizza la lingua inglese anche con le tecnologie dell'informazione e della comunicazione. </w:t>
                        </w:r>
                      </w:p>
                    </w:tc>
                  </w:tr>
                </w:tbl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IN MATERIA DI CITTADINANZA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interagire in gruppo imparando ad accettare e a confrontarsi con la diversità e a gestire la eventuale conflittualità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486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Ha cura e rispetto di sé e degli altri come presupposto di uno stile di vita sano e corretto. È consapevole della necessità del rispetto di una convivenza civile, pacifica e solidale. Si impegna per portare a compimento il lavoro iniziato, da solo o insieme ad altri. </w:t>
                        </w:r>
                      </w:p>
                    </w:tc>
                  </w:tr>
                </w:tbl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IN MATERIA DI CONSAPEVOLEZZA ED ESPRESSIONE CULTURALI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618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Riconosce ed apprezza le diverse identità, le tradizioni culturali e religiose, in un'ottica di dialogo e di rispetto reciproco. Ricava informazioni fondamentali sul patrimonio artistico, ambientale e letterario con riferimento al proprio territorio. Controlla le modalità della comunicazione non </w:t>
                        </w: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verbale per migliorare l’efficacia delle relazioni interpersonali </w:t>
                        </w:r>
                      </w:p>
                    </w:tc>
                  </w:tr>
                </w:tbl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COMPETENZA IMPRENDITORIALE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354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Ha spirito di iniziativa ed è capace di produrre idee e progetti creativi. Si assume le proprie responsabilità, chiede aiuto quando si trova in difficoltà e sa fornire aiuto a chi lo chiede. È disposto ad analizzare se stesso e a misurarsi con le novità e gli imprevisti. </w:t>
                        </w:r>
                      </w:p>
                    </w:tc>
                  </w:tr>
                </w:tbl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MATEMATICA E COMPETENZA IN SCIENZE, TECNOLOGIA E INGEGNERIA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Iniziare ad affrontare situazioni problematiche.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619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Utilizza le sue conoscenze matematiche e scientifico-tecnologiche per analizzare dati e fatti della realtà e per verificare l'attendibilità di analisi quantitative proposte da altri. Utilizza il pensiero logico-scientifico per affrontare problemi e situazioni sulla base di elementi certi. Ha consapevolezza dei limiti delle affermazioni che riguardano questioni complesse. </w:t>
                        </w:r>
                      </w:p>
                    </w:tc>
                  </w:tr>
                </w:tbl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DIGITALE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354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Utilizza con consapevolezza le tecnologie della comunicazione per ricercare le informazioni in modo critico. Usa con responsabilità le tecnologie per interagire con altre persone. </w:t>
                        </w:r>
                      </w:p>
                    </w:tc>
                  </w:tr>
                </w:tbl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SENSO DI INIZIATIVA E IMPRENDITORIALITÀ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354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Ha spirito di iniziativa ed è capace di produrre idee e progetti creativi. Si assume le proprie responsabilità, chiede aiuto quando si trova in difficoltà e sa fornire aiuto a chi lo chiede. È disposto ad analizzare se stesso e a misurarsi con le novità e gli imprevisti. </w:t>
                        </w:r>
                      </w:p>
                    </w:tc>
                  </w:tr>
                </w:tbl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MATEMATICO E COMPETENZE DI BASE IN CAMPO SCIENTIFICO E TECNOLOGICO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Iniziare ad affrontare situazioni problematiche.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619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Utilizza le sue conoscenze matematiche e scientifico-tecnologiche per analizzare dati e fatti della realtà e per verificare l'attendibilità di analisi quantitative proposte da altri. Utilizza il pensiero logico-scientifico per affrontare problemi e situazioni sulla base di elementi certi. Ha consapevolezza dei limiti delle affermazioni che riguardano </w:t>
                        </w: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questioni complesse. </w:t>
                        </w:r>
                      </w:p>
                    </w:tc>
                  </w:tr>
                </w:tbl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.</w:t>
                  </w:r>
                </w:p>
              </w:tc>
            </w:tr>
          </w:tbl>
          <w:p w:rsidR="002D3BEB" w:rsidRDefault="002D3BEB">
            <w:pPr>
              <w:ind w:left="3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  <w:p w:rsidR="002D3BEB" w:rsidRDefault="0012179C">
            <w:pPr>
              <w:ind w:left="360"/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 questo quadro di riferimento i principali traguardi</w:t>
            </w:r>
            <w:r w:rsidR="00BC5FE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hanno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riguarda</w:t>
            </w:r>
            <w:r w:rsidR="00BC5FE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o lo sviluppo delle capacità di: organizzare in modo autonomo e responsabile il proprio lavoro; rapportarsi agli altri; rispettare gli impegni assunti e le consegne ricevute; comprensione del testo; esprimere le proprie conoscenze attraverso l'uso dei linguaggi e degli strumenti specifici della disciplina, usando cura nel descrivere e nel classificare, e utilizzando un linguaggio corretto e chiaro, sia nelle esposizioni orali che in quelle scritte; sistemare logicamente e collegare le conoscenze acquisite; rielaborare e generalizzare le conoscenze acquisite; affrontare situazioni problematiche di varia natura avvalendosi di modelli matematici e appropriate strategie risolutive; analizzare grafici e interpretarli sviluppando deduzioni e ragionamenti sugli stessi; utilizzare il linguaggio e i metodi propri della </w:t>
            </w:r>
            <w:r w:rsidR="00C01CD9" w:rsidRPr="00C01CD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eastAsia="Calibri" w:hAnsi="Calibri"/>
                <w:sz w:val="22"/>
                <w:szCs w:val="22"/>
              </w:rPr>
              <w:instrText>KEYWORDS</w:instrText>
            </w:r>
            <w:r w:rsidR="00C01CD9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per organizzare e valutare adeguatamente informazioni qualitative e quantitative; utilizzare le strategie del pensiero razionale negli aspetti dialettici e algoritmici per affrontare situazioni problematiche, elaborando opportune soluzioni; utilizzare concetti e i modelli per investigare fenomeni sociali o naturali e per interpretare dati. </w:t>
            </w:r>
          </w:p>
          <w:p w:rsidR="002D3BEB" w:rsidRDefault="002D3BEB">
            <w:pPr>
              <w:ind w:left="3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2D3BEB" w:rsidRDefault="002D3BEB">
            <w:pPr>
              <w:ind w:left="3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4. Descrizione di conoscenze e abilità, suddivise in unità di apprendimento o didattiche, evidenziando per ognuna quelle essenziali o minime </w:t>
            </w:r>
          </w:p>
          <w:p w:rsidR="002D3BEB" w:rsidRDefault="002D3BE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di base a conclusione dell’obbligo dell’istruzione</w:t>
            </w:r>
            <w:r>
              <w:rPr>
                <w:rStyle w:val="Richiamoallanotaapidipagina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footnoteReference w:id="2"/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A] Utilizzare le tecniche e le procedure del calcolo aritmetico ed algebrico, rappresentandole anche sotto forma grafica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[B] Confrontare ed analizzare figure geometriche, individuando invarianti e relazioni.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[C] Individuare le strategie appropriate per la soluzione di problemi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[D] 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[E] Competenze chiave di cittadinanza: </w:t>
            </w:r>
          </w:p>
          <w:p w:rsidR="002D3BEB" w:rsidRDefault="0012179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imparare ad imparare</w:t>
            </w:r>
          </w:p>
          <w:p w:rsidR="002D3BEB" w:rsidRDefault="0012179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progettare </w:t>
            </w:r>
          </w:p>
          <w:p w:rsidR="002D3BEB" w:rsidRDefault="0012179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comunicare </w:t>
            </w:r>
          </w:p>
          <w:p w:rsidR="002D3BEB" w:rsidRDefault="0012179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collaborare e partecipare </w:t>
            </w:r>
          </w:p>
          <w:p w:rsidR="002D3BEB" w:rsidRDefault="0012179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agire in modo autonomo e responsabile</w:t>
            </w:r>
          </w:p>
          <w:p w:rsidR="002D3BEB" w:rsidRDefault="0012179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risolvere problemi</w:t>
            </w:r>
          </w:p>
          <w:p w:rsidR="002D3BEB" w:rsidRDefault="0012179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individuare collegamenti e relazioni</w:t>
            </w:r>
          </w:p>
          <w:p w:rsidR="002D3BEB" w:rsidRDefault="0012179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acquisire e interpretare le informazioni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 sviluppare queste competenze, possiamo individuare sei grandi temi, ossia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Modulo 1: </w:t>
            </w:r>
            <w:r w:rsidR="008B57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scomposizione di polinomi in fattori primi; 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Modulo 2:</w:t>
            </w:r>
            <w:r w:rsidR="008B57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equazioni fratte e di grado superiore al primo</w:t>
            </w:r>
          </w:p>
          <w:p w:rsidR="007043CE" w:rsidRDefault="007043CE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Modulo 3: i radicali, numeri irrazionali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Modulo </w:t>
            </w:r>
            <w:r w:rsidR="007043C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8B57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sistemi lineari e non lineari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Modulo </w:t>
            </w:r>
            <w:r w:rsidR="007043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: le </w:t>
            </w:r>
            <w:r w:rsidR="00556F3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equazioni e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disequazioni </w:t>
            </w:r>
            <w:r w:rsidR="008B57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di secondo grado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Modulo </w:t>
            </w:r>
            <w:r w:rsidR="007043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: </w:t>
            </w:r>
            <w:r w:rsidR="00BC5F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Cenno al </w:t>
            </w:r>
            <w:r w:rsidR="008B57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piano Cartesiano</w:t>
            </w:r>
          </w:p>
          <w:p w:rsidR="002D3BEB" w:rsidRDefault="002D3BE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Conoscenze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conoscere il simbolismo matematico; conoscere i contenuti programmatici relativi all’anno scolastico frequentato dettagliati nella scansione delle unità didattiche qui sotto (sono sottolineati quelli essenziali per essere ammessi alla classe successiva).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Abilità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essere in grado di operare con il simbolismo matematico; utilizzare le tecniche e strumenti di calcolo e gli strumenti informatici atti a supportare l’attività di studio; individuare le strategie appropriate per la soluzione di esercizi inerenti gli argomenti dettagliati nella scansione delle unità didattiche qui sotto (sono sottolineati quelli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essenziali per essere ammessi alla classe successiva).</w:t>
            </w:r>
          </w:p>
          <w:p w:rsidR="000F22D8" w:rsidRDefault="000F22D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Modulo 1. </w:t>
            </w:r>
            <w:r w:rsidR="007043C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Scomposizioni di polinomi in fattori prim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Riconoscere </w:t>
            </w:r>
            <w:r w:rsidR="007043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nelle forme polinomiali la tipologia di scomposizione e saper scomporre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Operare con </w:t>
            </w:r>
            <w:r w:rsidR="007043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le scomposizioni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applicando le relative proprietà.  MCD e mcm, </w:t>
            </w:r>
            <w:r w:rsidR="007043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condizioni di esistenza al denominatore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,</w:t>
            </w:r>
            <w:r w:rsidR="007043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espressiioni con le frazioni algebriche</w:t>
            </w:r>
            <w:r w:rsidR="000F22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, equazioni di grado superiore al primo tramite scomposizione di polinomi in fattori e legge di annullamento del prodotto.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7043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Competenze: A,C,D,E</w:t>
            </w:r>
          </w:p>
          <w:p w:rsidR="000F22D8" w:rsidRDefault="000F22D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0F22D8" w:rsidRDefault="0012179C" w:rsidP="000F22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Modulo 2. </w:t>
            </w:r>
            <w:r w:rsidR="007043C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Equazioni fratte e di grado superiore al primo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Riconoscere </w:t>
            </w:r>
            <w:r w:rsidR="007043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equazioni fratte con condizioni di esistenza e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sapere operare con ess</w:t>
            </w:r>
            <w:r w:rsidR="007043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e individuando la soluzione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. Riconoscere i</w:t>
            </w:r>
            <w:r w:rsidR="007043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l grado di una equazione, saper risolvere equazioni di secondo grado tramite uso della formula, saper risolvere equazioni di grado superiore al secondo tramite scomposizione di polinomi in fattori primi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: A,</w:t>
            </w:r>
            <w:r w:rsidR="007043C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C,D,E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3.Radicali</w:t>
            </w:r>
          </w:p>
          <w:p w:rsidR="000F22D8" w:rsidRDefault="000F22D8" w:rsidP="000F22D8">
            <w:pPr>
              <w:ind w:left="-17" w:hanging="4247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Principali concetti fondanti, ra Radicali qua Radicali aritmetici e algebrici, cenno al concetto di valore assoluto,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  <w:t>operazioni con i radicali</w:t>
            </w: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,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Competenze :A,C,D,E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0F22D8" w:rsidRDefault="000F22D8" w:rsidP="000F22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0F22D8" w:rsidRDefault="000F22D8" w:rsidP="000F22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</w:t>
            </w:r>
            <w:r w:rsidR="00121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 xml:space="preserve"> Sistemi lineari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  <w:t>Sistemi e metodi di risoluzione.</w:t>
            </w: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Problemi di applicazione. Piano Cartesiano,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Competenze : A,B,C,D,E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5.Equazioni di secondo grado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Concetto e riconoscimento di equazioni di 2° grado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  <w:t>. Formula risolutiva</w:t>
            </w: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. 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  <w:t>scomposizione del trinomio di secondo grado</w:t>
            </w: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. Problemi e applicazioni.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Competenze :A,C,D,E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0F22D8" w:rsidRDefault="000F22D8" w:rsidP="000F22D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6. Disequazioni di secondo grado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  <w:t>Disequazioni di secondo grado. Disequazioni frazionarie e di grado superiore al secondo. Disequazioni  fratte, disequazioni di grado superiore al secondo.</w:t>
            </w:r>
            <w:r w:rsidR="00BC5FE3"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  <w:t xml:space="preserve"> Sistemi di disequazioni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Competenze : A, C,D;E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</w:pP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 xml:space="preserve">7.Equazioni di grado superiore al secondo 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BC5FE3"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  <w:t>Equazioni binomie, biquadratiche e trinomie. Equazioni che si risolvono tramite scomposizione di polinomi in fattori.</w:t>
            </w: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Competenze : C,D,E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0F22D8" w:rsidRDefault="000F22D8" w:rsidP="000F22D8">
            <w:pPr>
              <w:ind w:left="4247" w:hanging="4247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  <w:p w:rsidR="002D3BEB" w:rsidRDefault="002D3BE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2D3BEB" w:rsidRDefault="002D3BEB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5.Attività o moduli didattici concordati nel CdC a livello interdisciplinare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- Educazione civica</w:t>
            </w:r>
          </w:p>
          <w:p w:rsidR="002D3BEB" w:rsidRDefault="002D3BEB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2D3BEB" w:rsidRDefault="00BC5FE3"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Nove ore di attività teatrale nel progetto “ Teatro dell’inclusione”</w:t>
            </w:r>
          </w:p>
          <w:p w:rsidR="002D3BEB" w:rsidRDefault="002D3BEB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6.Tipologie di verifica, elaborati ed esercitazioni </w:t>
            </w:r>
          </w:p>
          <w:p w:rsidR="002D3BEB" w:rsidRDefault="002D3BEB">
            <w:pPr>
              <w:jc w:val="both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</w:p>
          <w:p w:rsidR="002D3BEB" w:rsidRDefault="0012179C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Attraverso vari tipi di prova, quali compiti “tradizionali”, test, prove strutturate e semistrutturate, colloqui orali, questionari, si</w:t>
            </w:r>
            <w:r w:rsidR="00BC5FE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è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proced</w:t>
            </w:r>
            <w:r w:rsidR="00BC5FE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uto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a verificare sia la conoscenza degli argomenti che le abilità acquisite, nonché il livello di raggiungimento di competenze di ciascun alunno con particolare attenzione a quelle metacognitive. Con anticipo rispetto alla verifica,</w:t>
            </w:r>
            <w:r w:rsidR="00BC5FE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è stato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comunicato agli studenti il suo carattere formativo o sommativo. Le verifiche </w:t>
            </w:r>
            <w:r w:rsidR="00BC5FE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hanno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perme</w:t>
            </w:r>
            <w:r w:rsidR="00BC5FE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sso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di valutare anche il grado generale di apprendimento della classe, al fine di intervenire eventualmente per colmare le eventuali carenze.</w:t>
            </w:r>
          </w:p>
          <w:p w:rsidR="002D3BEB" w:rsidRDefault="0012179C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In base a quanto stabilito nelle riunioni di area disciplinare, nel corso del primo quadrimestre </w:t>
            </w:r>
            <w:r w:rsidR="00BC5FE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e del secondo sono state proposte agli studenti almeno quattro prove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2D3BEB" w:rsidRDefault="0012179C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Le valutazioni delle competenze di cittadinanza e degli obiettivi trasversali previsti dal piano di lavoro del docente o del consiglio di classe saranno inserite sul registro</w:t>
            </w:r>
            <w:r w:rsidR="00BC5FE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come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 ad esempio, qualità del lavoro in classe (imparare ad imparare), puntualità e rispetto delle consegne (ad es. svolgimento dei compiti assegnati a casa, lavoro in laboratorio, attività non strettamente disciplinari svolte durante l'ora di matematica), riflessione sul proprio lavoro o capacità di sviluppare il proprio processo di apprendimento.</w:t>
            </w:r>
          </w:p>
          <w:p w:rsidR="002D3BEB" w:rsidRDefault="002D3BEB" w:rsidP="00BC5FE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7.Criteri per le valutazioni</w:t>
            </w:r>
          </w:p>
          <w:p w:rsidR="002D3BEB" w:rsidRDefault="002D3BEB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ind w:left="360" w:hanging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Le valutazioni quadrimestrale e finale, partendo fondamentalmente dall’esito medio delle prove fornite nel periodo di riferimento, </w:t>
            </w:r>
            <w:r w:rsidR="00BC5FE3">
              <w:rPr>
                <w:rFonts w:ascii="Calibri" w:hAnsi="Calibri"/>
                <w:color w:val="000000"/>
                <w:sz w:val="22"/>
                <w:szCs w:val="22"/>
              </w:rPr>
              <w:t xml:space="preserve">hanno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te</w:t>
            </w:r>
            <w:r w:rsidR="00BC5FE3">
              <w:rPr>
                <w:rFonts w:ascii="Calibri" w:hAnsi="Calibri"/>
                <w:color w:val="000000"/>
                <w:sz w:val="22"/>
                <w:szCs w:val="22"/>
              </w:rPr>
              <w:t>nuto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conto comunque: di un significativo miglioramento rispetto alle condizioni di partenza, della partecipazione al dialogo educativo e dell’interesse mostrato per le attività svolte.</w:t>
            </w:r>
          </w:p>
          <w:p w:rsidR="002D3BEB" w:rsidRDefault="0012179C">
            <w:pPr>
              <w:ind w:left="360" w:hanging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L’esito di tutte le prove 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>è stato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espresso con un numero decimale da 1 a 10, scaturito, per quel che riguarda le prove scritte, da una griglia di misurazione opportunamente predisposta di volta in volta e descritta agli studenti che tenga conto, come nel caso delle prove orali che il livello di sufficienza è raggiunto quando siano acquisite le conoscenze di base, necessarie per la comprensione dei temi trattati nelle classi successive, e il loro semplice utilizzo. </w:t>
            </w:r>
          </w:p>
          <w:p w:rsidR="002D3BEB" w:rsidRDefault="0012179C">
            <w:pPr>
              <w:ind w:left="360" w:hanging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la valutazione si fa riferimento alla griglia sottostante.</w:t>
            </w: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pPr w:leftFromText="141" w:rightFromText="141" w:vertAnchor="page" w:horzAnchor="margin" w:tblpX="-147" w:tblpY="286"/>
              <w:tblW w:w="10270" w:type="dxa"/>
              <w:tblBorders>
                <w:top w:val="single" w:sz="4" w:space="0" w:color="000001"/>
                <w:left w:val="single" w:sz="4" w:space="0" w:color="000001"/>
                <w:bottom w:val="single" w:sz="6" w:space="0" w:color="000001"/>
                <w:right w:val="single" w:sz="6" w:space="0" w:color="000001"/>
                <w:insideH w:val="single" w:sz="6" w:space="0" w:color="000001"/>
                <w:insideV w:val="single" w:sz="6" w:space="0" w:color="000001"/>
              </w:tblBorders>
              <w:tblCellMar>
                <w:left w:w="93" w:type="dxa"/>
              </w:tblCellMar>
              <w:tblLook w:val="0000"/>
            </w:tblPr>
            <w:tblGrid>
              <w:gridCol w:w="1556"/>
              <w:gridCol w:w="2482"/>
              <w:gridCol w:w="2480"/>
              <w:gridCol w:w="2480"/>
              <w:gridCol w:w="1272"/>
            </w:tblGrid>
            <w:tr w:rsidR="002D3BEB">
              <w:trPr>
                <w:trHeight w:val="318"/>
              </w:trPr>
              <w:tc>
                <w:tcPr>
                  <w:tcW w:w="1555" w:type="dxa"/>
                  <w:tcBorders>
                    <w:top w:val="single" w:sz="4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Livello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pStyle w:val="Defaul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CONOSCENZE</w:t>
                  </w:r>
                </w:p>
              </w:tc>
              <w:tc>
                <w:tcPr>
                  <w:tcW w:w="2481" w:type="dxa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pStyle w:val="Defaul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ABILITA’</w:t>
                  </w:r>
                </w:p>
              </w:tc>
              <w:tc>
                <w:tcPr>
                  <w:tcW w:w="2481" w:type="dxa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pStyle w:val="Defaul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COMPETENZE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pStyle w:val="Defaul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VOTO</w:t>
                  </w:r>
                </w:p>
              </w:tc>
            </w:tr>
            <w:tr w:rsidR="002D3BEB">
              <w:trPr>
                <w:cantSplit/>
                <w:trHeight w:val="606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2D3BEB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442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L’alunno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si rifiuta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di sostenere la prova,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non partecipa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al dialogo educativo</w:t>
                  </w:r>
                </w:p>
              </w:tc>
              <w:tc>
                <w:tcPr>
                  <w:tcW w:w="127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2D3BEB">
              <w:trPr>
                <w:trHeight w:val="606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Gravemente insufficiente</w:t>
                  </w:r>
                </w:p>
              </w:tc>
              <w:tc>
                <w:tcPr>
                  <w:tcW w:w="2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Mancanti o lacunose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sa applicare alcuna regola propria del contesto proposto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sa classificare e organizzare i contenuti, seria difficoltà di esposizione, incapacità di orientarsi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3 - 4</w:t>
                  </w:r>
                </w:p>
              </w:tc>
            </w:tr>
            <w:tr w:rsidR="002D3BEB">
              <w:trPr>
                <w:trHeight w:val="733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Insufficiente</w:t>
                  </w:r>
                </w:p>
              </w:tc>
              <w:tc>
                <w:tcPr>
                  <w:tcW w:w="2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Conoscenze parziali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Commette errori nell’applicare regole, difficoltà ad orientarsi nel contesto proposto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Classifica e organizza con qualche difficoltà i vari contenuti, espone in modo incerto e poco appropriato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2D3BEB">
              <w:trPr>
                <w:trHeight w:val="732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Sufficiente</w:t>
                  </w:r>
                </w:p>
              </w:tc>
              <w:tc>
                <w:tcPr>
                  <w:tcW w:w="2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Conoscenze essenziali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commette errori gravi e risolve semplici casi, riesce ad orientarsi con l’aiuto del docente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Classifica parzialmente e stabilisce semplici connessioni tra argomenti diversi, espressione corretta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2D3BEB">
              <w:trPr>
                <w:trHeight w:val="858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Buono</w:t>
                  </w:r>
                </w:p>
              </w:tc>
              <w:tc>
                <w:tcPr>
                  <w:tcW w:w="2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Conoscenze sicure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commette errori o commette errori di lieve entità e risolve semplici casi autonomamente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Classifica con correttezza e organizza efficacemente gli argomenti affrontati. Ha sviluppato tutte le competenze valutate, ma per alcune il livello di raggiungimento è solo essenziale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7 - 8</w:t>
                  </w:r>
                </w:p>
              </w:tc>
            </w:tr>
            <w:tr w:rsidR="002D3BEB">
              <w:trPr>
                <w:trHeight w:val="1111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4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Ottimo</w:t>
                  </w:r>
                </w:p>
              </w:tc>
              <w:tc>
                <w:tcPr>
                  <w:tcW w:w="2483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Conoscenze complete e approfondite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commette errori e risolve casi più complessi anche con collegamenti intra ed extra-disciplinari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Classifica e organizza correttamente i contenuti generalizzandoli ed elaborandoli. Ha sviluppato significativamente tutte le competenze valutate.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rPr>
                      <w:b/>
                    </w:rPr>
                  </w:pPr>
                  <w:r>
                    <w:rPr>
                      <w:b/>
                    </w:rPr>
                    <w:t>9- 10</w:t>
                  </w:r>
                </w:p>
              </w:tc>
            </w:tr>
          </w:tbl>
          <w:p w:rsidR="002D3BEB" w:rsidRDefault="002D3BEB">
            <w:pPr>
              <w:ind w:left="360" w:hanging="3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8.Metodi e strategie didattiche </w:t>
            </w:r>
          </w:p>
          <w:p w:rsidR="002D3BEB" w:rsidRDefault="002D3BE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D3BEB" w:rsidRDefault="001217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Ciò che qualifica l’attività del corso è il saper porre e risolvere problemi attraverso modelli logici e di calcolo; l’apprendimento di tale approccio 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 xml:space="preserve">è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pass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>ato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attraverso lezioni frontali e interattive (anche alla LIM), esercizi esemplificativi e analisi dei procedimenti. Una particolare attenzione 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>è stata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dedicata all'acquisire ed interpretare l’informazione anche fuori dal contesto specifico. Questo 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>ha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favori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>to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il mantenimento dell'interesse e soprattutto 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 xml:space="preserve">lo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svilupp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 motivazione all'apprendimento.</w:t>
            </w:r>
          </w:p>
          <w:p w:rsidR="002D3BEB" w:rsidRDefault="001217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Momenti di problem-solving s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 xml:space="preserve">ono stati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affiancati da altri di sistemazione teorica per inserire i risultati ottenuti in un organico quadro teorico complessivo. Questo 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>ha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perme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>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lo sviluppo delle competenze meta-cognitive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(imparare ad imparare) ed 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 xml:space="preserve">ha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aumenta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>to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 percezione dell'unitarietà della disciplina e del suo statuto epistemologico favorendo l'individuazione di collegamenti e relazioni.</w:t>
            </w:r>
          </w:p>
          <w:p w:rsidR="002D3BEB" w:rsidRDefault="001217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Una particolare rilevanza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 xml:space="preserve">ha avuto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 discussione di errori, preconcetti e misconcetti quando individuati. Per fare questo è necessario che lo studente sia sereno nel confronto con l'insegnante e nei momenti in cui è chiamato alla verifica del proprio processo di apprendimento. Si 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 xml:space="preserve">è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quindi 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 xml:space="preserve">sempre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chiari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>to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come i momenti di correzione alla lavagna o gli interventi dal posto non siano necessariamente sempre oggetto di verifica. Questo non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 xml:space="preserve"> ha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inibi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>to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gli allievi </w:t>
            </w:r>
            <w:r w:rsidR="00083096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far emergere i processi che portano a errori/misconcetti e anche per agevolare i momenti di recupero delle carenze in itinere.</w:t>
            </w:r>
          </w:p>
          <w:p w:rsidR="002D3BEB" w:rsidRDefault="001217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Attività di peer-tutoring o cooperative learning potranno essere realizzati per recupero/potenziamento e anche come momenti di valutazione delle competenze chiave di cittadinanza.</w:t>
            </w:r>
          </w:p>
          <w:p w:rsidR="002D3BEB" w:rsidRDefault="001217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Oltre al libro di testo in adozione potranno essere forniti appunti del docente, documenti multimediali e materiale disponibile sul web.</w:t>
            </w:r>
          </w:p>
          <w:p w:rsidR="002D3BEB" w:rsidRDefault="002D3B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D3BEB" w:rsidRDefault="002D3BE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2D3BEB" w:rsidRDefault="002D3BEB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2"/>
          <w:szCs w:val="22"/>
        </w:rPr>
      </w:pPr>
    </w:p>
    <w:p w:rsidR="002D3BEB" w:rsidRDefault="002D3BEB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2"/>
          <w:szCs w:val="22"/>
        </w:rPr>
      </w:pPr>
    </w:p>
    <w:p w:rsidR="004E7A4C" w:rsidRDefault="0012179C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Pisa li</w:t>
      </w:r>
      <w:r w:rsidR="00596748">
        <w:rPr>
          <w:rFonts w:ascii="Arial" w:eastAsia="Arial" w:hAnsi="Arial" w:cs="Arial"/>
          <w:sz w:val="20"/>
          <w:szCs w:val="20"/>
        </w:rPr>
        <w:t xml:space="preserve"> 1</w:t>
      </w:r>
      <w:r w:rsidR="004E7A4C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 /</w:t>
      </w:r>
      <w:r w:rsidR="004E7A4C">
        <w:rPr>
          <w:rFonts w:ascii="Arial" w:eastAsia="Arial" w:hAnsi="Arial" w:cs="Arial"/>
          <w:sz w:val="20"/>
          <w:szCs w:val="20"/>
        </w:rPr>
        <w:t>06</w:t>
      </w:r>
      <w:r>
        <w:rPr>
          <w:rFonts w:ascii="Arial" w:eastAsia="Arial" w:hAnsi="Arial" w:cs="Arial"/>
          <w:sz w:val="20"/>
          <w:szCs w:val="20"/>
        </w:rPr>
        <w:t>/202</w:t>
      </w:r>
      <w:r w:rsidR="004E7A4C">
        <w:rPr>
          <w:rFonts w:ascii="Arial" w:eastAsia="Arial" w:hAnsi="Arial" w:cs="Arial"/>
          <w:sz w:val="20"/>
          <w:szCs w:val="20"/>
        </w:rPr>
        <w:t>4</w:t>
      </w:r>
    </w:p>
    <w:p w:rsidR="002D3BEB" w:rsidRDefault="004E7A4C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rappresentanti di classe</w:t>
      </w:r>
      <w:r w:rsidR="0012179C">
        <w:rPr>
          <w:rFonts w:ascii="Arial" w:eastAsia="Arial" w:hAnsi="Arial" w:cs="Arial"/>
          <w:sz w:val="20"/>
          <w:szCs w:val="20"/>
        </w:rPr>
        <w:tab/>
        <w:t xml:space="preserve">                 Il docente</w:t>
      </w:r>
      <w:r w:rsidR="00596748">
        <w:rPr>
          <w:rFonts w:ascii="Arial" w:eastAsia="Arial" w:hAnsi="Arial" w:cs="Arial"/>
          <w:sz w:val="20"/>
          <w:szCs w:val="20"/>
        </w:rPr>
        <w:t xml:space="preserve"> </w:t>
      </w:r>
      <w:r w:rsidR="0012179C">
        <w:rPr>
          <w:rFonts w:ascii="Arial" w:eastAsia="Arial" w:hAnsi="Arial" w:cs="Arial"/>
          <w:sz w:val="20"/>
          <w:szCs w:val="20"/>
        </w:rPr>
        <w:t>Grazia Rossini</w:t>
      </w:r>
    </w:p>
    <w:sectPr w:rsidR="002D3BEB" w:rsidSect="002D3BEB">
      <w:pgSz w:w="11906" w:h="16838"/>
      <w:pgMar w:top="426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1D3" w:rsidRDefault="000841D3" w:rsidP="002D3BEB">
      <w:r>
        <w:separator/>
      </w:r>
    </w:p>
  </w:endnote>
  <w:endnote w:type="continuationSeparator" w:id="1">
    <w:p w:rsidR="000841D3" w:rsidRDefault="000841D3" w:rsidP="002D3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1D3" w:rsidRDefault="000841D3">
      <w:r>
        <w:separator/>
      </w:r>
    </w:p>
  </w:footnote>
  <w:footnote w:type="continuationSeparator" w:id="1">
    <w:p w:rsidR="000841D3" w:rsidRDefault="000841D3">
      <w:r>
        <w:continuationSeparator/>
      </w:r>
    </w:p>
  </w:footnote>
  <w:footnote w:id="2">
    <w:p w:rsidR="002D3BEB" w:rsidRDefault="0012179C">
      <w:pPr>
        <w:pStyle w:val="FootnoteText"/>
        <w:jc w:val="both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rFonts w:ascii="Arial" w:hAnsi="Arial"/>
        </w:rPr>
        <w:tab/>
      </w:r>
      <w:r>
        <w:tab/>
        <w:t>Le lettere [A], [B], [C], [D], che non compaiono nel testo normativo, sono state introdotte per poter essere richiamate all'interno delle schede di programmazione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72B8"/>
    <w:multiLevelType w:val="multilevel"/>
    <w:tmpl w:val="B002E472"/>
    <w:lvl w:ilvl="0">
      <w:start w:val="1"/>
      <w:numFmt w:val="bullet"/>
      <w:lvlText w:val=""/>
      <w:lvlJc w:val="left"/>
      <w:pPr>
        <w:ind w:left="693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>
    <w:nsid w:val="24D373E9"/>
    <w:multiLevelType w:val="multilevel"/>
    <w:tmpl w:val="192292C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eastAsia="Calibri" w:cs="Calibri"/>
        <w:b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Heading4"/>
      <w:lvlText w:val="%1.%4"/>
      <w:lvlJc w:val="left"/>
      <w:pPr>
        <w:ind w:left="1080" w:hanging="72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A25019E"/>
    <w:multiLevelType w:val="multilevel"/>
    <w:tmpl w:val="8726386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2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>
    <w:nsid w:val="408D234F"/>
    <w:multiLevelType w:val="multilevel"/>
    <w:tmpl w:val="90B85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BEB"/>
    <w:rsid w:val="0003701B"/>
    <w:rsid w:val="00044D0B"/>
    <w:rsid w:val="00083096"/>
    <w:rsid w:val="000841D3"/>
    <w:rsid w:val="000A6613"/>
    <w:rsid w:val="000D2395"/>
    <w:rsid w:val="000F22D8"/>
    <w:rsid w:val="0012179C"/>
    <w:rsid w:val="001B5C96"/>
    <w:rsid w:val="001E15DE"/>
    <w:rsid w:val="002208E1"/>
    <w:rsid w:val="00296A82"/>
    <w:rsid w:val="002D3BEB"/>
    <w:rsid w:val="0031158C"/>
    <w:rsid w:val="00315EDA"/>
    <w:rsid w:val="00444F30"/>
    <w:rsid w:val="004E7A4C"/>
    <w:rsid w:val="004F3658"/>
    <w:rsid w:val="00556F35"/>
    <w:rsid w:val="00557C56"/>
    <w:rsid w:val="00596748"/>
    <w:rsid w:val="005B4CD7"/>
    <w:rsid w:val="00633E96"/>
    <w:rsid w:val="007043CE"/>
    <w:rsid w:val="008073D0"/>
    <w:rsid w:val="00875425"/>
    <w:rsid w:val="008B5715"/>
    <w:rsid w:val="008F42B9"/>
    <w:rsid w:val="009A64D7"/>
    <w:rsid w:val="00AB1EAF"/>
    <w:rsid w:val="00B4090A"/>
    <w:rsid w:val="00BC5FE3"/>
    <w:rsid w:val="00BD081D"/>
    <w:rsid w:val="00C01CD9"/>
    <w:rsid w:val="00C52843"/>
    <w:rsid w:val="00C56A8D"/>
    <w:rsid w:val="00CF1F6D"/>
    <w:rsid w:val="00D5048B"/>
    <w:rsid w:val="00D664AA"/>
    <w:rsid w:val="00E91DC9"/>
    <w:rsid w:val="00F6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EB"/>
    <w:pPr>
      <w:suppressAutoHyphens/>
    </w:pPr>
    <w:rPr>
      <w:rFonts w:cs="Calibri"/>
      <w:color w:val="00000A"/>
      <w:sz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9"/>
    <w:qFormat/>
    <w:rsid w:val="002D3BEB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customStyle="1" w:styleId="Heading2">
    <w:name w:val="Heading 2"/>
    <w:basedOn w:val="Normale"/>
    <w:uiPriority w:val="9"/>
    <w:semiHidden/>
    <w:unhideWhenUsed/>
    <w:qFormat/>
    <w:rsid w:val="002D3B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e"/>
    <w:uiPriority w:val="9"/>
    <w:semiHidden/>
    <w:unhideWhenUsed/>
    <w:qFormat/>
    <w:rsid w:val="002D3B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e"/>
    <w:uiPriority w:val="9"/>
    <w:semiHidden/>
    <w:unhideWhenUsed/>
    <w:qFormat/>
    <w:rsid w:val="002D3BEB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customStyle="1" w:styleId="Heading5">
    <w:name w:val="Heading 5"/>
    <w:basedOn w:val="Normale"/>
    <w:uiPriority w:val="9"/>
    <w:semiHidden/>
    <w:unhideWhenUsed/>
    <w:qFormat/>
    <w:rsid w:val="002D3B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e"/>
    <w:uiPriority w:val="9"/>
    <w:semiHidden/>
    <w:unhideWhenUsed/>
    <w:qFormat/>
    <w:rsid w:val="002D3B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WW8Num1z0">
    <w:name w:val="WW8Num1z0"/>
    <w:qFormat/>
    <w:rsid w:val="002D3BEB"/>
  </w:style>
  <w:style w:type="character" w:customStyle="1" w:styleId="WW8Num1z1">
    <w:name w:val="WW8Num1z1"/>
    <w:qFormat/>
    <w:rsid w:val="002D3BEB"/>
  </w:style>
  <w:style w:type="character" w:customStyle="1" w:styleId="WW8Num1z2">
    <w:name w:val="WW8Num1z2"/>
    <w:qFormat/>
    <w:rsid w:val="002D3BEB"/>
  </w:style>
  <w:style w:type="character" w:customStyle="1" w:styleId="WW8Num1z3">
    <w:name w:val="WW8Num1z3"/>
    <w:qFormat/>
    <w:rsid w:val="002D3BEB"/>
  </w:style>
  <w:style w:type="character" w:customStyle="1" w:styleId="WW8Num1z4">
    <w:name w:val="WW8Num1z4"/>
    <w:qFormat/>
    <w:rsid w:val="002D3BEB"/>
  </w:style>
  <w:style w:type="character" w:customStyle="1" w:styleId="WW8Num1z5">
    <w:name w:val="WW8Num1z5"/>
    <w:qFormat/>
    <w:rsid w:val="002D3BEB"/>
  </w:style>
  <w:style w:type="character" w:customStyle="1" w:styleId="WW8Num1z6">
    <w:name w:val="WW8Num1z6"/>
    <w:qFormat/>
    <w:rsid w:val="002D3BEB"/>
  </w:style>
  <w:style w:type="character" w:customStyle="1" w:styleId="WW8Num1z7">
    <w:name w:val="WW8Num1z7"/>
    <w:qFormat/>
    <w:rsid w:val="002D3BEB"/>
  </w:style>
  <w:style w:type="character" w:customStyle="1" w:styleId="WW8Num1z8">
    <w:name w:val="WW8Num1z8"/>
    <w:qFormat/>
    <w:rsid w:val="002D3BEB"/>
  </w:style>
  <w:style w:type="character" w:customStyle="1" w:styleId="WW8Num2z0">
    <w:name w:val="WW8Num2z0"/>
    <w:qFormat/>
    <w:rsid w:val="002D3BEB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</w:rPr>
  </w:style>
  <w:style w:type="character" w:customStyle="1" w:styleId="WW8Num2z1">
    <w:name w:val="WW8Num2z1"/>
    <w:qFormat/>
    <w:rsid w:val="002D3BEB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  <w:qFormat/>
    <w:rsid w:val="002D3BEB"/>
  </w:style>
  <w:style w:type="character" w:customStyle="1" w:styleId="WW8Num2z3">
    <w:name w:val="WW8Num2z3"/>
    <w:qFormat/>
    <w:rsid w:val="002D3BEB"/>
  </w:style>
  <w:style w:type="character" w:customStyle="1" w:styleId="WW8Num2z4">
    <w:name w:val="WW8Num2z4"/>
    <w:qFormat/>
    <w:rsid w:val="002D3BEB"/>
  </w:style>
  <w:style w:type="character" w:customStyle="1" w:styleId="WW8Num2z5">
    <w:name w:val="WW8Num2z5"/>
    <w:qFormat/>
    <w:rsid w:val="002D3BEB"/>
  </w:style>
  <w:style w:type="character" w:customStyle="1" w:styleId="WW8Num2z6">
    <w:name w:val="WW8Num2z6"/>
    <w:qFormat/>
    <w:rsid w:val="002D3BEB"/>
  </w:style>
  <w:style w:type="character" w:customStyle="1" w:styleId="WW8Num2z7">
    <w:name w:val="WW8Num2z7"/>
    <w:qFormat/>
    <w:rsid w:val="002D3BEB"/>
  </w:style>
  <w:style w:type="character" w:customStyle="1" w:styleId="WW8Num2z8">
    <w:name w:val="WW8Num2z8"/>
    <w:qFormat/>
    <w:rsid w:val="002D3BEB"/>
  </w:style>
  <w:style w:type="character" w:customStyle="1" w:styleId="WW8Num3z0">
    <w:name w:val="WW8Num3z0"/>
    <w:qFormat/>
    <w:rsid w:val="002D3BEB"/>
    <w:rPr>
      <w:rFonts w:ascii="Calibri" w:hAnsi="Calibri" w:cs="Arial"/>
      <w:b/>
      <w:sz w:val="20"/>
      <w:szCs w:val="18"/>
    </w:rPr>
  </w:style>
  <w:style w:type="character" w:customStyle="1" w:styleId="WW8Num3z1">
    <w:name w:val="WW8Num3z1"/>
    <w:qFormat/>
    <w:rsid w:val="002D3BEB"/>
  </w:style>
  <w:style w:type="character" w:customStyle="1" w:styleId="WW8Num4z0">
    <w:name w:val="WW8Num4z0"/>
    <w:qFormat/>
    <w:rsid w:val="002D3BEB"/>
    <w:rPr>
      <w:rFonts w:ascii="Calibri" w:eastAsia="Calibri" w:hAnsi="Calibri" w:cs="Times New Roman"/>
      <w:sz w:val="24"/>
    </w:rPr>
  </w:style>
  <w:style w:type="character" w:customStyle="1" w:styleId="WW8Num4z1">
    <w:name w:val="WW8Num4z1"/>
    <w:qFormat/>
    <w:rsid w:val="002D3BEB"/>
    <w:rPr>
      <w:rFonts w:ascii="Courier New" w:hAnsi="Courier New" w:cs="Courier New"/>
    </w:rPr>
  </w:style>
  <w:style w:type="character" w:customStyle="1" w:styleId="WW8Num4z2">
    <w:name w:val="WW8Num4z2"/>
    <w:qFormat/>
    <w:rsid w:val="002D3BEB"/>
    <w:rPr>
      <w:rFonts w:ascii="Wingdings" w:hAnsi="Wingdings" w:cs="Wingdings"/>
    </w:rPr>
  </w:style>
  <w:style w:type="character" w:customStyle="1" w:styleId="WW8Num4z3">
    <w:name w:val="WW8Num4z3"/>
    <w:qFormat/>
    <w:rsid w:val="002D3BEB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2D3BEB"/>
  </w:style>
  <w:style w:type="character" w:customStyle="1" w:styleId="Titolo1Carattere">
    <w:name w:val="Titolo 1 Carattere"/>
    <w:basedOn w:val="Carpredefinitoparagrafo1"/>
    <w:qFormat/>
    <w:rsid w:val="002D3BEB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qFormat/>
    <w:rsid w:val="002D3BEB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qFormat/>
    <w:rsid w:val="002D3BEB"/>
    <w:rPr>
      <w:vertAlign w:val="superscript"/>
    </w:rPr>
  </w:style>
  <w:style w:type="character" w:customStyle="1" w:styleId="Rimandonotaapidipagina1">
    <w:name w:val="Rimando nota a piè di pagina1"/>
    <w:qFormat/>
    <w:rsid w:val="002D3BEB"/>
    <w:rPr>
      <w:vertAlign w:val="superscript"/>
    </w:rPr>
  </w:style>
  <w:style w:type="character" w:customStyle="1" w:styleId="CollegamentoInternet">
    <w:name w:val="Collegamento Internet"/>
    <w:rsid w:val="002D3BEB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qFormat/>
    <w:rsid w:val="002D3BEB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qFormat/>
    <w:rsid w:val="002D3BEB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qFormat/>
    <w:rsid w:val="002D3BEB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qFormat/>
    <w:rsid w:val="002D3BE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TestonotaapidipaginaCarattere1">
    <w:name w:val="Testo nota a piè di pagina Carattere1"/>
    <w:link w:val="FootnoteText"/>
    <w:uiPriority w:val="99"/>
    <w:qFormat/>
    <w:rsid w:val="0032683A"/>
    <w:rPr>
      <w:rFonts w:cs="Calibri"/>
      <w:sz w:val="20"/>
      <w:lang w:eastAsia="ar-SA"/>
    </w:rPr>
  </w:style>
  <w:style w:type="character" w:customStyle="1" w:styleId="ListLabel1">
    <w:name w:val="ListLabel 1"/>
    <w:qFormat/>
    <w:rsid w:val="002D3BEB"/>
    <w:rPr>
      <w:rFonts w:eastAsia="Calibri" w:cs="Calibri"/>
      <w:b/>
      <w:sz w:val="22"/>
      <w:szCs w:val="20"/>
    </w:rPr>
  </w:style>
  <w:style w:type="character" w:customStyle="1" w:styleId="ListLabel2">
    <w:name w:val="ListLabel 2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0"/>
      <w:u w:val="none" w:color="000000"/>
      <w:vertAlign w:val="baseline"/>
    </w:rPr>
  </w:style>
  <w:style w:type="character" w:customStyle="1" w:styleId="ListLabel3">
    <w:name w:val="ListLabel 3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">
    <w:name w:val="ListLabel 4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">
    <w:name w:val="ListLabel 5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">
    <w:name w:val="ListLabel 6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">
    <w:name w:val="ListLabel 7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">
    <w:name w:val="ListLabel 8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">
    <w:name w:val="ListLabel 9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">
    <w:name w:val="ListLabel 10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">
    <w:name w:val="ListLabel 11"/>
    <w:qFormat/>
    <w:rsid w:val="002D3BEB"/>
    <w:rPr>
      <w:rFonts w:eastAsia="Times New Roman" w:cs="Calibri"/>
      <w:b/>
      <w:sz w:val="20"/>
      <w:szCs w:val="20"/>
    </w:rPr>
  </w:style>
  <w:style w:type="character" w:customStyle="1" w:styleId="ListLabel12">
    <w:name w:val="ListLabel 12"/>
    <w:qFormat/>
    <w:rsid w:val="002D3BEB"/>
    <w:rPr>
      <w:rFonts w:cs="Times New Roman"/>
    </w:rPr>
  </w:style>
  <w:style w:type="character" w:customStyle="1" w:styleId="ListLabel13">
    <w:name w:val="ListLabel 13"/>
    <w:qFormat/>
    <w:rsid w:val="002D3BEB"/>
    <w:rPr>
      <w:rFonts w:cs="Times New Roman"/>
    </w:rPr>
  </w:style>
  <w:style w:type="character" w:customStyle="1" w:styleId="ListLabel14">
    <w:name w:val="ListLabel 14"/>
    <w:qFormat/>
    <w:rsid w:val="002D3BEB"/>
    <w:rPr>
      <w:rFonts w:cs="Times New Roman"/>
    </w:rPr>
  </w:style>
  <w:style w:type="character" w:customStyle="1" w:styleId="ListLabel15">
    <w:name w:val="ListLabel 15"/>
    <w:qFormat/>
    <w:rsid w:val="002D3BEB"/>
    <w:rPr>
      <w:rFonts w:cs="Times New Roman"/>
    </w:rPr>
  </w:style>
  <w:style w:type="character" w:customStyle="1" w:styleId="ListLabel16">
    <w:name w:val="ListLabel 16"/>
    <w:qFormat/>
    <w:rsid w:val="002D3BEB"/>
    <w:rPr>
      <w:rFonts w:cs="Times New Roman"/>
    </w:rPr>
  </w:style>
  <w:style w:type="character" w:customStyle="1" w:styleId="ListLabel17">
    <w:name w:val="ListLabel 17"/>
    <w:qFormat/>
    <w:rsid w:val="002D3BEB"/>
    <w:rPr>
      <w:rFonts w:cs="Times New Roman"/>
    </w:rPr>
  </w:style>
  <w:style w:type="character" w:customStyle="1" w:styleId="ListLabel18">
    <w:name w:val="ListLabel 18"/>
    <w:qFormat/>
    <w:rsid w:val="002D3BEB"/>
    <w:rPr>
      <w:rFonts w:cs="Times New Roman"/>
    </w:rPr>
  </w:style>
  <w:style w:type="character" w:customStyle="1" w:styleId="ListLabel19">
    <w:name w:val="ListLabel 19"/>
    <w:qFormat/>
    <w:rsid w:val="002D3BEB"/>
    <w:rPr>
      <w:rFonts w:cs="Times New Roman"/>
    </w:rPr>
  </w:style>
  <w:style w:type="character" w:customStyle="1" w:styleId="ListLabel20">
    <w:name w:val="ListLabel 20"/>
    <w:qFormat/>
    <w:rsid w:val="002D3BEB"/>
    <w:rPr>
      <w:rFonts w:cs="Courier New"/>
    </w:rPr>
  </w:style>
  <w:style w:type="character" w:customStyle="1" w:styleId="ListLabel21">
    <w:name w:val="ListLabel 21"/>
    <w:qFormat/>
    <w:rsid w:val="002D3BEB"/>
    <w:rPr>
      <w:rFonts w:cs="Courier New"/>
    </w:rPr>
  </w:style>
  <w:style w:type="character" w:customStyle="1" w:styleId="ListLabel22">
    <w:name w:val="ListLabel 22"/>
    <w:qFormat/>
    <w:rsid w:val="002D3BEB"/>
    <w:rPr>
      <w:rFonts w:cs="Courier New"/>
    </w:rPr>
  </w:style>
  <w:style w:type="character" w:customStyle="1" w:styleId="ListLabel23">
    <w:name w:val="ListLabel 23"/>
    <w:qFormat/>
    <w:rsid w:val="002D3BEB"/>
    <w:rPr>
      <w:rFonts w:eastAsia="Calibri" w:cs="Calibri"/>
      <w:b/>
      <w:sz w:val="20"/>
      <w:szCs w:val="20"/>
    </w:rPr>
  </w:style>
  <w:style w:type="character" w:customStyle="1" w:styleId="Caratterinotaapidipagina">
    <w:name w:val="Caratteri nota a piè di pagina"/>
    <w:qFormat/>
    <w:rsid w:val="002D3BEB"/>
  </w:style>
  <w:style w:type="character" w:customStyle="1" w:styleId="Richiamoallanotaapidipagina">
    <w:name w:val="Richiamo alla nota a piè di pagina"/>
    <w:rsid w:val="002D3BEB"/>
    <w:rPr>
      <w:vertAlign w:val="superscript"/>
    </w:rPr>
  </w:style>
  <w:style w:type="character" w:customStyle="1" w:styleId="Richiamoallanotadichiusura">
    <w:name w:val="Richiamo alla nota di chiusura"/>
    <w:rsid w:val="002D3BEB"/>
    <w:rPr>
      <w:vertAlign w:val="superscript"/>
    </w:rPr>
  </w:style>
  <w:style w:type="character" w:customStyle="1" w:styleId="Caratterinotadichiusura">
    <w:name w:val="Caratteri nota di chiusura"/>
    <w:qFormat/>
    <w:rsid w:val="002D3BEB"/>
  </w:style>
  <w:style w:type="character" w:customStyle="1" w:styleId="ListLabel24">
    <w:name w:val="ListLabel 24"/>
    <w:qFormat/>
    <w:rsid w:val="002D3BEB"/>
    <w:rPr>
      <w:rFonts w:eastAsia="Calibri" w:cs="Calibri"/>
      <w:b/>
      <w:sz w:val="20"/>
      <w:szCs w:val="20"/>
    </w:rPr>
  </w:style>
  <w:style w:type="character" w:customStyle="1" w:styleId="ListLabel25">
    <w:name w:val="ListLabel 25"/>
    <w:qFormat/>
    <w:rsid w:val="002D3BEB"/>
    <w:rPr>
      <w:rFonts w:ascii="Calibri" w:eastAsia="Calibri" w:hAnsi="Calibri" w:cs="Calibri"/>
      <w:b/>
      <w:sz w:val="22"/>
      <w:szCs w:val="20"/>
    </w:rPr>
  </w:style>
  <w:style w:type="character" w:customStyle="1" w:styleId="ListLabel26">
    <w:name w:val="ListLabel 26"/>
    <w:qFormat/>
    <w:rsid w:val="002D3BEB"/>
    <w:rPr>
      <w:rFonts w:ascii="Calibri" w:hAnsi="Calibri" w:cs="Wingdings"/>
      <w:b w:val="0"/>
      <w:i w:val="0"/>
      <w:strike w:val="0"/>
      <w:dstrike w:val="0"/>
      <w:color w:val="000000"/>
      <w:position w:val="0"/>
      <w:sz w:val="22"/>
      <w:szCs w:val="20"/>
      <w:u w:val="none" w:color="000000"/>
      <w:vertAlign w:val="baseline"/>
    </w:rPr>
  </w:style>
  <w:style w:type="character" w:customStyle="1" w:styleId="ListLabel27">
    <w:name w:val="ListLabel 27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">
    <w:name w:val="ListLabel 28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9">
    <w:name w:val="ListLabel 29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0">
    <w:name w:val="ListLabel 30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1">
    <w:name w:val="ListLabel 31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2">
    <w:name w:val="ListLabel 32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3">
    <w:name w:val="ListLabel 33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4">
    <w:name w:val="ListLabel 34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5">
    <w:name w:val="ListLabel 35"/>
    <w:qFormat/>
    <w:rsid w:val="002D3BEB"/>
    <w:rPr>
      <w:rFonts w:ascii="Calibri" w:hAnsi="Calibri" w:cs="Symbol"/>
      <w:sz w:val="22"/>
    </w:rPr>
  </w:style>
  <w:style w:type="character" w:customStyle="1" w:styleId="ListLabel36">
    <w:name w:val="ListLabel 36"/>
    <w:qFormat/>
    <w:rsid w:val="002D3BEB"/>
    <w:rPr>
      <w:rFonts w:cs="Courier New"/>
    </w:rPr>
  </w:style>
  <w:style w:type="character" w:customStyle="1" w:styleId="ListLabel37">
    <w:name w:val="ListLabel 37"/>
    <w:qFormat/>
    <w:rsid w:val="002D3BEB"/>
    <w:rPr>
      <w:rFonts w:cs="Wingdings"/>
    </w:rPr>
  </w:style>
  <w:style w:type="character" w:customStyle="1" w:styleId="ListLabel38">
    <w:name w:val="ListLabel 38"/>
    <w:qFormat/>
    <w:rsid w:val="002D3BEB"/>
    <w:rPr>
      <w:rFonts w:cs="Symbol"/>
    </w:rPr>
  </w:style>
  <w:style w:type="character" w:customStyle="1" w:styleId="ListLabel39">
    <w:name w:val="ListLabel 39"/>
    <w:qFormat/>
    <w:rsid w:val="002D3BEB"/>
    <w:rPr>
      <w:rFonts w:cs="Courier New"/>
    </w:rPr>
  </w:style>
  <w:style w:type="character" w:customStyle="1" w:styleId="ListLabel40">
    <w:name w:val="ListLabel 40"/>
    <w:qFormat/>
    <w:rsid w:val="002D3BEB"/>
    <w:rPr>
      <w:rFonts w:cs="Wingdings"/>
    </w:rPr>
  </w:style>
  <w:style w:type="character" w:customStyle="1" w:styleId="ListLabel41">
    <w:name w:val="ListLabel 41"/>
    <w:qFormat/>
    <w:rsid w:val="002D3BEB"/>
    <w:rPr>
      <w:rFonts w:cs="Symbol"/>
    </w:rPr>
  </w:style>
  <w:style w:type="character" w:customStyle="1" w:styleId="ListLabel42">
    <w:name w:val="ListLabel 42"/>
    <w:qFormat/>
    <w:rsid w:val="002D3BEB"/>
    <w:rPr>
      <w:rFonts w:cs="Courier New"/>
    </w:rPr>
  </w:style>
  <w:style w:type="character" w:customStyle="1" w:styleId="ListLabel43">
    <w:name w:val="ListLabel 43"/>
    <w:qFormat/>
    <w:rsid w:val="002D3BEB"/>
    <w:rPr>
      <w:rFonts w:cs="Wingdings"/>
    </w:rPr>
  </w:style>
  <w:style w:type="character" w:customStyle="1" w:styleId="ListLabel44">
    <w:name w:val="ListLabel 44"/>
    <w:qFormat/>
    <w:rsid w:val="002D3BEB"/>
    <w:rPr>
      <w:rFonts w:eastAsia="Calibri" w:cs="Calibri"/>
      <w:b/>
      <w:sz w:val="20"/>
      <w:szCs w:val="20"/>
    </w:rPr>
  </w:style>
  <w:style w:type="character" w:customStyle="1" w:styleId="ListLabel45">
    <w:name w:val="ListLabel 45"/>
    <w:qFormat/>
    <w:rsid w:val="002D3BEB"/>
    <w:rPr>
      <w:rFonts w:ascii="Calibri" w:eastAsia="Calibri" w:hAnsi="Calibri" w:cs="Calibri"/>
      <w:b/>
      <w:sz w:val="22"/>
      <w:szCs w:val="20"/>
    </w:rPr>
  </w:style>
  <w:style w:type="character" w:customStyle="1" w:styleId="ListLabel46">
    <w:name w:val="ListLabel 46"/>
    <w:qFormat/>
    <w:rsid w:val="002D3BEB"/>
    <w:rPr>
      <w:rFonts w:ascii="Calibri" w:hAnsi="Calibri" w:cs="Wingdings"/>
      <w:b w:val="0"/>
      <w:i w:val="0"/>
      <w:strike w:val="0"/>
      <w:dstrike w:val="0"/>
      <w:color w:val="000000"/>
      <w:position w:val="0"/>
      <w:sz w:val="22"/>
      <w:szCs w:val="20"/>
      <w:u w:val="none" w:color="000000"/>
      <w:vertAlign w:val="baseline"/>
    </w:rPr>
  </w:style>
  <w:style w:type="character" w:customStyle="1" w:styleId="ListLabel47">
    <w:name w:val="ListLabel 47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8">
    <w:name w:val="ListLabel 48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9">
    <w:name w:val="ListLabel 49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0">
    <w:name w:val="ListLabel 50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1">
    <w:name w:val="ListLabel 51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2">
    <w:name w:val="ListLabel 52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3">
    <w:name w:val="ListLabel 53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4">
    <w:name w:val="ListLabel 54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5">
    <w:name w:val="ListLabel 55"/>
    <w:qFormat/>
    <w:rsid w:val="002D3BEB"/>
    <w:rPr>
      <w:rFonts w:ascii="Calibri" w:hAnsi="Calibri" w:cs="Symbol"/>
      <w:sz w:val="22"/>
    </w:rPr>
  </w:style>
  <w:style w:type="character" w:customStyle="1" w:styleId="ListLabel56">
    <w:name w:val="ListLabel 56"/>
    <w:qFormat/>
    <w:rsid w:val="002D3BEB"/>
    <w:rPr>
      <w:rFonts w:cs="Courier New"/>
    </w:rPr>
  </w:style>
  <w:style w:type="character" w:customStyle="1" w:styleId="ListLabel57">
    <w:name w:val="ListLabel 57"/>
    <w:qFormat/>
    <w:rsid w:val="002D3BEB"/>
    <w:rPr>
      <w:rFonts w:cs="Wingdings"/>
    </w:rPr>
  </w:style>
  <w:style w:type="character" w:customStyle="1" w:styleId="ListLabel58">
    <w:name w:val="ListLabel 58"/>
    <w:qFormat/>
    <w:rsid w:val="002D3BEB"/>
    <w:rPr>
      <w:rFonts w:cs="Symbol"/>
    </w:rPr>
  </w:style>
  <w:style w:type="character" w:customStyle="1" w:styleId="ListLabel59">
    <w:name w:val="ListLabel 59"/>
    <w:qFormat/>
    <w:rsid w:val="002D3BEB"/>
    <w:rPr>
      <w:rFonts w:cs="Courier New"/>
    </w:rPr>
  </w:style>
  <w:style w:type="character" w:customStyle="1" w:styleId="ListLabel60">
    <w:name w:val="ListLabel 60"/>
    <w:qFormat/>
    <w:rsid w:val="002D3BEB"/>
    <w:rPr>
      <w:rFonts w:cs="Wingdings"/>
    </w:rPr>
  </w:style>
  <w:style w:type="character" w:customStyle="1" w:styleId="ListLabel61">
    <w:name w:val="ListLabel 61"/>
    <w:qFormat/>
    <w:rsid w:val="002D3BEB"/>
    <w:rPr>
      <w:rFonts w:cs="Symbol"/>
    </w:rPr>
  </w:style>
  <w:style w:type="character" w:customStyle="1" w:styleId="ListLabel62">
    <w:name w:val="ListLabel 62"/>
    <w:qFormat/>
    <w:rsid w:val="002D3BEB"/>
    <w:rPr>
      <w:rFonts w:cs="Courier New"/>
    </w:rPr>
  </w:style>
  <w:style w:type="character" w:customStyle="1" w:styleId="ListLabel63">
    <w:name w:val="ListLabel 63"/>
    <w:qFormat/>
    <w:rsid w:val="002D3BEB"/>
    <w:rPr>
      <w:rFonts w:cs="Wingdings"/>
    </w:rPr>
  </w:style>
  <w:style w:type="paragraph" w:styleId="Titolo">
    <w:name w:val="Title"/>
    <w:basedOn w:val="Normale"/>
    <w:next w:val="Corpodeltesto"/>
    <w:uiPriority w:val="10"/>
    <w:qFormat/>
    <w:rsid w:val="002D3BEB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2D3BEB"/>
    <w:pPr>
      <w:spacing w:after="120"/>
    </w:pPr>
  </w:style>
  <w:style w:type="paragraph" w:styleId="Elenco">
    <w:name w:val="List"/>
    <w:basedOn w:val="Corpodeltesto"/>
    <w:rsid w:val="002D3BEB"/>
    <w:rPr>
      <w:rFonts w:cs="Mangal"/>
    </w:rPr>
  </w:style>
  <w:style w:type="paragraph" w:customStyle="1" w:styleId="Caption">
    <w:name w:val="Caption"/>
    <w:basedOn w:val="Normale"/>
    <w:qFormat/>
    <w:rsid w:val="002D3B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D3BEB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qFormat/>
    <w:rsid w:val="002D3B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rsid w:val="002D3B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noteText">
    <w:name w:val="Footnote Text"/>
    <w:basedOn w:val="Normale"/>
    <w:link w:val="TestonotaapidipaginaCarattere1"/>
    <w:uiPriority w:val="99"/>
    <w:rsid w:val="002D3BEB"/>
    <w:rPr>
      <w:sz w:val="20"/>
    </w:rPr>
  </w:style>
  <w:style w:type="paragraph" w:customStyle="1" w:styleId="Intestazione1">
    <w:name w:val="Intestazione1"/>
    <w:basedOn w:val="Normale"/>
    <w:qFormat/>
    <w:rsid w:val="002D3BE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2D3BEB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qFormat/>
    <w:rsid w:val="002D3B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2D3BEB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rsid w:val="002D3BEB"/>
    <w:pPr>
      <w:suppressLineNumbers/>
    </w:pPr>
  </w:style>
  <w:style w:type="paragraph" w:customStyle="1" w:styleId="Intestazionetabella">
    <w:name w:val="Intestazione tabella"/>
    <w:basedOn w:val="Contenutotabella"/>
    <w:qFormat/>
    <w:rsid w:val="002D3BEB"/>
    <w:pPr>
      <w:jc w:val="center"/>
    </w:pPr>
    <w:rPr>
      <w:b/>
      <w:bCs/>
    </w:rPr>
  </w:style>
  <w:style w:type="paragraph" w:styleId="Sottotitolo">
    <w:name w:val="Subtitle"/>
    <w:basedOn w:val="Normale"/>
    <w:uiPriority w:val="11"/>
    <w:qFormat/>
    <w:rsid w:val="002D3B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sid w:val="00CB54EF"/>
    <w:rPr>
      <w:color w:val="000000"/>
      <w:sz w:val="24"/>
      <w:szCs w:val="24"/>
    </w:rPr>
  </w:style>
  <w:style w:type="table" w:customStyle="1" w:styleId="TableNormal">
    <w:name w:val="Table Normal"/>
    <w:rsid w:val="002D3BE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2D3BE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grazia rossini</cp:lastModifiedBy>
  <cp:revision>9</cp:revision>
  <dcterms:created xsi:type="dcterms:W3CDTF">2024-05-21T10:22:00Z</dcterms:created>
  <dcterms:modified xsi:type="dcterms:W3CDTF">2024-05-30T07:31:00Z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